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51" w:rsidRDefault="00D22C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-25399</wp:posOffset>
                </wp:positionV>
                <wp:extent cx="1590675" cy="6858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5425" y="3441863"/>
                          <a:ext cx="1581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21051 Twenty-One Mile Road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Macomb, MI 48044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Telephone 586-723-2700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Fax 586-723-2701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www.dakotahighschool.com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86pt;margin-top:-2pt;width:125.25pt;height:5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" stroked="f">
                <v:textbox inset="2.53958mm,1.2694mm,2.53958mm,1.2694mm">
                  <w:txbxContent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21051 Twenty-One Mile Road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Macomb, MI 48044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Telephone 586-723-2700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Fax 586-723-2701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www.dakotahighschool.com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38100" cy="164401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57993"/>
                          <a:ext cx="0" cy="164401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33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AACC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5pt;margin-top:0;width:3pt;height:1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" strokecolor="#036" strokeweight="3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-190499</wp:posOffset>
                </wp:positionV>
                <wp:extent cx="4067175" cy="685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7175" y="3441863"/>
                          <a:ext cx="4057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44061"/>
                                <w:sz w:val="52"/>
                              </w:rPr>
                              <w:t>DAKOTA HIGH SCHOOL</w:t>
                            </w:r>
                          </w:p>
                          <w:p w:rsidR="00BE1951" w:rsidRDefault="00D22CD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6600"/>
                              </w:rPr>
                              <w:t>“Focused on Learning”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-8pt;margin-top:-15pt;width:320.2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" stroked="f">
                <v:textbox inset="2.53958mm,1.2694mm,2.53958mm,1.2694mm">
                  <w:txbxContent>
                    <w:p w:rsidR="00BE1951" w:rsidRDefault="00D22CD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44061"/>
                          <w:sz w:val="52"/>
                        </w:rPr>
                        <w:t>DAKOTA HIGH SCHOOL</w:t>
                      </w:r>
                    </w:p>
                    <w:p w:rsidR="00BE1951" w:rsidRDefault="00D22CDC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6600"/>
                        </w:rPr>
                        <w:t>“Focused on Learning”</w:t>
                      </w:r>
                    </w:p>
                  </w:txbxContent>
                </v:textbox>
              </v:rect>
            </w:pict>
          </mc:Fallback>
        </mc:AlternateContent>
      </w:r>
    </w:p>
    <w:p w:rsidR="00BE1951" w:rsidRDefault="00D22CDC">
      <w:pPr>
        <w:pStyle w:val="Heading3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-600074</wp:posOffset>
            </wp:positionH>
            <wp:positionV relativeFrom="paragraph">
              <wp:posOffset>381000</wp:posOffset>
            </wp:positionV>
            <wp:extent cx="914400" cy="914400"/>
            <wp:effectExtent l="0" t="0" r="0" b="0"/>
            <wp:wrapSquare wrapText="bothSides" distT="0" distB="0" distL="114300" distR="114300"/>
            <wp:docPr id="6" name="image1.png" descr="couga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ugar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1951" w:rsidRDefault="00D22CDC">
      <w:pPr>
        <w:pStyle w:val="Heading2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2066290" cy="1668197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149445"/>
                          <a:ext cx="205676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</w:rPr>
                              <w:t>Paul Sibley, Principal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</w:rPr>
                              <w:t xml:space="preserve">Kevin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</w:rPr>
                              <w:t>Koskos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</w:rPr>
                              <w:t>, Principal 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80"/>
                                <w:sz w:val="16"/>
                              </w:rPr>
                              <w:t xml:space="preserve"> Grade Center 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Ebony Carter, Assistant Principal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Nancy Coulter, Scheduling Coordinator Tom Downham, Assistant Principal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Michael Fusco, Athletic Director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Jonathan Jones, Assistant Principal</w:t>
                            </w:r>
                          </w:p>
                          <w:p w:rsidR="00BE1951" w:rsidRDefault="00D22CDC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</w:rPr>
                              <w:t>Tony Maniscalco, Assistant Principal</w:t>
                            </w:r>
                          </w:p>
                          <w:p w:rsidR="00BE1951" w:rsidRDefault="00BE1951">
                            <w:pPr>
                              <w:textDirection w:val="btLr"/>
                            </w:pPr>
                          </w:p>
                          <w:p w:rsidR="00BE1951" w:rsidRDefault="00BE1951">
                            <w:pPr>
                              <w:textDirection w:val="btLr"/>
                            </w:pPr>
                          </w:p>
                          <w:p w:rsidR="00BE1951" w:rsidRDefault="00BE1951">
                            <w:pPr>
                              <w:textDirection w:val="btLr"/>
                            </w:pPr>
                          </w:p>
                          <w:p w:rsidR="00BE1951" w:rsidRDefault="00BE195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left:0;text-align:left;margin-left:315pt;margin-top:6pt;width:162.7pt;height:13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" stroked="f">
                <v:textbox inset="2.53958mm,1.2694mm,2.53958mm,1.2694mm">
                  <w:txbxContent>
                    <w:p w:rsidR="00BE1951" w:rsidRDefault="00D22CD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</w:rPr>
                        <w:t>Paul Sibley, Principal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</w:rPr>
                        <w:t xml:space="preserve">Kevin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</w:rPr>
                        <w:t>Koskos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</w:rPr>
                        <w:t>, Principal 9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color w:val="000080"/>
                          <w:sz w:val="16"/>
                        </w:rPr>
                        <w:t xml:space="preserve"> Grade Center 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Ebony Carter, Assistant Principal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Nancy Coulter, Scheduling Coordinator Tom Downham, Assistant Principal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Michael Fusco, Athletic Director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Jonathan Jones, Assistant Principal</w:t>
                      </w:r>
                    </w:p>
                    <w:p w:rsidR="00BE1951" w:rsidRDefault="00D22CDC">
                      <w:pPr>
                        <w:textDirection w:val="btLr"/>
                      </w:pPr>
                      <w:r>
                        <w:rPr>
                          <w:b/>
                          <w:color w:val="000080"/>
                          <w:sz w:val="16"/>
                        </w:rPr>
                        <w:t>Tony Maniscalco, Assistant Principal</w:t>
                      </w:r>
                    </w:p>
                    <w:p w:rsidR="00BE1951" w:rsidRDefault="00BE1951">
                      <w:pPr>
                        <w:textDirection w:val="btLr"/>
                      </w:pPr>
                    </w:p>
                    <w:p w:rsidR="00BE1951" w:rsidRDefault="00BE1951">
                      <w:pPr>
                        <w:textDirection w:val="btLr"/>
                      </w:pPr>
                    </w:p>
                    <w:p w:rsidR="00BE1951" w:rsidRDefault="00BE1951">
                      <w:pPr>
                        <w:textDirection w:val="btLr"/>
                      </w:pPr>
                    </w:p>
                    <w:p w:rsidR="00BE1951" w:rsidRDefault="00BE1951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-1308099</wp:posOffset>
                </wp:positionH>
                <wp:positionV relativeFrom="paragraph">
                  <wp:posOffset>63500</wp:posOffset>
                </wp:positionV>
                <wp:extent cx="7677150" cy="2857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07425" y="378000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33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689FD" id="Straight Arrow Connector 5" o:spid="_x0000_s1026" type="#_x0000_t32" style="position:absolute;margin-left:-103pt;margin-top:5pt;width:604.5pt;height: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" strokecolor="#036" strokeweight="2.25pt">
                <v:stroke startarrowwidth="narrow" startarrowlength="short" endarrowwidth="narrow" endarrowlength="short"/>
              </v:shape>
            </w:pict>
          </mc:Fallback>
        </mc:AlternateContent>
      </w:r>
    </w:p>
    <w:p w:rsidR="00BE1951" w:rsidRDefault="00BE1951">
      <w:pPr>
        <w:ind w:left="360"/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January 20, 2019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RE: HOSA State Leadership Conference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Dear Parents/Guardian and HOSA Qualifier,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Congratulations on qualifying for the HOSA State Leadership Conference.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This is a very exciting event for students. There are many professional activities scheduled for the students to attend in addition to their competitive events. A tentative schedule and permission slip </w:t>
      </w:r>
      <w:proofErr w:type="gramStart"/>
      <w:r>
        <w:rPr>
          <w:rFonts w:ascii="Arial" w:eastAsia="Arial" w:hAnsi="Arial" w:cs="Arial"/>
          <w:sz w:val="20"/>
          <w:szCs w:val="20"/>
        </w:rPr>
        <w:t>is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attached. 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conference will be held at The Amway Grand Plaza in Grand Rapids, </w:t>
      </w:r>
      <w:proofErr w:type="gramStart"/>
      <w:r>
        <w:rPr>
          <w:rFonts w:ascii="Arial" w:eastAsia="Arial" w:hAnsi="Arial" w:cs="Arial"/>
          <w:sz w:val="20"/>
          <w:szCs w:val="20"/>
        </w:rPr>
        <w:t>MI 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dates of the conference are Wednesday, March 20 - Saturday March 23, 2019. Students attending the conference will be departing from Dakota High School (East Entrance) at approximately 4:00 pm on March </w:t>
      </w:r>
      <w:proofErr w:type="gramStart"/>
      <w:r>
        <w:rPr>
          <w:rFonts w:ascii="Arial" w:eastAsia="Arial" w:hAnsi="Arial" w:cs="Arial"/>
          <w:sz w:val="20"/>
          <w:szCs w:val="20"/>
        </w:rPr>
        <w:t>20  and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will be returning to Dakota High School on Saturday March 23 at approximately 11:30am.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Students will be transported by bus to the conference. Accommodations are at the Amway Plaza hotel. 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There is a dress code for the conference which will include business attire for the opening and closing ceremonies and for any professional </w:t>
      </w:r>
      <w:proofErr w:type="gramStart"/>
      <w:r>
        <w:rPr>
          <w:rFonts w:ascii="Arial" w:eastAsia="Arial" w:hAnsi="Arial" w:cs="Arial"/>
          <w:sz w:val="20"/>
          <w:szCs w:val="20"/>
        </w:rPr>
        <w:t>sessions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students attend. Professional attire for each event varies which is outlined in the event guidelines.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The cost per student is </w:t>
      </w:r>
      <w:r>
        <w:rPr>
          <w:rFonts w:ascii="Arial" w:eastAsia="Arial" w:hAnsi="Arial" w:cs="Arial"/>
          <w:b/>
          <w:sz w:val="20"/>
          <w:szCs w:val="20"/>
          <w:u w:val="single"/>
        </w:rPr>
        <w:t>$150.00</w:t>
      </w:r>
      <w:r>
        <w:rPr>
          <w:rFonts w:ascii="Arial" w:eastAsia="Arial" w:hAnsi="Arial" w:cs="Arial"/>
          <w:sz w:val="20"/>
          <w:szCs w:val="20"/>
        </w:rPr>
        <w:t xml:space="preserve"> which includes transportation, registration, t-shirt, and pizza party. Students will also be responsible for their meals during the conference (approximately $75.00). The average cost at the restaurants within the hotel is $10.00 per meal. There are options outside of the hotel </w:t>
      </w:r>
      <w:r w:rsidR="00DA1D26">
        <w:rPr>
          <w:rFonts w:ascii="Arial" w:eastAsia="Arial" w:hAnsi="Arial" w:cs="Arial"/>
          <w:sz w:val="20"/>
          <w:szCs w:val="20"/>
        </w:rPr>
        <w:t>within walking distance and students can order food to the hotel</w:t>
      </w:r>
      <w:r>
        <w:rPr>
          <w:rFonts w:ascii="Arial" w:eastAsia="Arial" w:hAnsi="Arial" w:cs="Arial"/>
          <w:sz w:val="20"/>
          <w:szCs w:val="20"/>
        </w:rPr>
        <w:t xml:space="preserve">. They can bring some food with them such as snacks, bagels, bread, water, etc. Just keep in mind we are transporting all our luggage as well.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submit the </w:t>
      </w:r>
      <w:r>
        <w:rPr>
          <w:rFonts w:ascii="Arial" w:eastAsia="Arial" w:hAnsi="Arial" w:cs="Arial"/>
          <w:b/>
          <w:sz w:val="20"/>
          <w:szCs w:val="20"/>
          <w:u w:val="single"/>
        </w:rPr>
        <w:t>registration fee and permission slip</w:t>
      </w:r>
      <w:r>
        <w:rPr>
          <w:rFonts w:ascii="Arial" w:eastAsia="Arial" w:hAnsi="Arial" w:cs="Arial"/>
          <w:sz w:val="20"/>
          <w:szCs w:val="20"/>
        </w:rPr>
        <w:t xml:space="preserve"> by </w:t>
      </w:r>
      <w:r>
        <w:rPr>
          <w:rFonts w:ascii="Arial" w:eastAsia="Arial" w:hAnsi="Arial" w:cs="Arial"/>
          <w:b/>
          <w:sz w:val="20"/>
          <w:szCs w:val="20"/>
          <w:u w:val="single"/>
        </w:rPr>
        <w:t>February 1, 2019.</w:t>
      </w:r>
      <w:r>
        <w:rPr>
          <w:rFonts w:ascii="Arial" w:eastAsia="Arial" w:hAnsi="Arial" w:cs="Arial"/>
          <w:sz w:val="20"/>
          <w:szCs w:val="20"/>
        </w:rPr>
        <w:t xml:space="preserve"> NO student will be registered without payment. There is NO refund after registration. (if the registration fee or money for food will create a financial hardship there is assistance available so that all students </w:t>
      </w:r>
      <w:proofErr w:type="gramStart"/>
      <w:r>
        <w:rPr>
          <w:rFonts w:ascii="Arial" w:eastAsia="Arial" w:hAnsi="Arial" w:cs="Arial"/>
          <w:sz w:val="20"/>
          <w:szCs w:val="20"/>
        </w:rPr>
        <w:t>have the opportunity 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participate).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you have any additional </w:t>
      </w:r>
      <w:proofErr w:type="gramStart"/>
      <w:r>
        <w:rPr>
          <w:rFonts w:ascii="Arial" w:eastAsia="Arial" w:hAnsi="Arial" w:cs="Arial"/>
          <w:sz w:val="20"/>
          <w:szCs w:val="20"/>
        </w:rPr>
        <w:t>questions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please contact me at 586-723-2980 or email at jzemnickas@cvs.k12.mi.us.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am really looking forward to the State Leadership Conference! 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Sincerely,</w:t>
      </w: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Julie Zemnickas, EMT-P, RN,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Ed.S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Medical Academy Instructor</w:t>
      </w:r>
    </w:p>
    <w:p w:rsidR="00BE1951" w:rsidRDefault="00D22CD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HOSA Advisor  </w:t>
      </w:r>
    </w:p>
    <w:p w:rsidR="00BE1951" w:rsidRDefault="00BE1951">
      <w:pPr>
        <w:rPr>
          <w:rFonts w:ascii="Arial" w:eastAsia="Arial" w:hAnsi="Arial" w:cs="Arial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p w:rsidR="00BE1951" w:rsidRDefault="00BE1951">
      <w:pPr>
        <w:rPr>
          <w:rFonts w:ascii="Arial" w:eastAsia="Arial" w:hAnsi="Arial" w:cs="Arial"/>
          <w:sz w:val="20"/>
          <w:szCs w:val="20"/>
        </w:rPr>
      </w:pPr>
    </w:p>
    <w:sectPr w:rsidR="00BE1951">
      <w:footerReference w:type="default" r:id="rId7"/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3C" w:rsidRDefault="0010353C">
      <w:r>
        <w:separator/>
      </w:r>
    </w:p>
  </w:endnote>
  <w:endnote w:type="continuationSeparator" w:id="0">
    <w:p w:rsidR="0010353C" w:rsidRDefault="0010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51" w:rsidRDefault="00D22CDC">
    <w:pPr>
      <w:jc w:val="both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  <w:u w:val="single"/>
      </w:rPr>
      <w:t>NOTICE OF NONDISCRIMINATION</w:t>
    </w:r>
    <w:r>
      <w:rPr>
        <w:rFonts w:ascii="Arial" w:eastAsia="Arial" w:hAnsi="Arial" w:cs="Arial"/>
        <w:b/>
        <w:sz w:val="14"/>
        <w:szCs w:val="14"/>
      </w:rPr>
      <w:t xml:space="preserve"> It is the policy of Chippewa Valley Schools not to discriminate </w:t>
    </w:r>
    <w:proofErr w:type="gramStart"/>
    <w:r>
      <w:rPr>
        <w:rFonts w:ascii="Arial" w:eastAsia="Arial" w:hAnsi="Arial" w:cs="Arial"/>
        <w:b/>
        <w:sz w:val="14"/>
        <w:szCs w:val="14"/>
      </w:rPr>
      <w:t>on the basis of</w:t>
    </w:r>
    <w:proofErr w:type="gramEnd"/>
    <w:r>
      <w:rPr>
        <w:rFonts w:ascii="Arial" w:eastAsia="Arial" w:hAnsi="Arial" w:cs="Arial"/>
        <w:b/>
        <w:sz w:val="14"/>
        <w:szCs w:val="14"/>
      </w:rPr>
      <w:t xml:space="preserve"> race, color, religion, national origin or ancestry, genetics, gender, age, disability, height, weight or marital status in its programs, services, activities, or employment. Inquiries related to nondiscrimination policies should be directed to: Civil Rights Coordinator, Assistant Superintendent of Human Resources, Chippewa Valley Schools Administration, 19120 Cass Avenue, Clinton Township, MI 48038 Phone: 586-723-2090 / Nondiscrimination inquiries related to disability should be directed to: Section 504 Coordinator, Director of Special Services, (same address) Phone: 586-723-2180</w:t>
    </w:r>
  </w:p>
  <w:p w:rsidR="00BE1951" w:rsidRDefault="00BE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3C" w:rsidRDefault="0010353C">
      <w:r>
        <w:separator/>
      </w:r>
    </w:p>
  </w:footnote>
  <w:footnote w:type="continuationSeparator" w:id="0">
    <w:p w:rsidR="0010353C" w:rsidRDefault="0010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51"/>
    <w:rsid w:val="0010353C"/>
    <w:rsid w:val="00610C1B"/>
    <w:rsid w:val="00BE1951"/>
    <w:rsid w:val="00D22CDC"/>
    <w:rsid w:val="00D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8C30"/>
  <w15:docId w15:val="{7D450D8A-C2D8-443B-8622-681FA11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color w:val="00008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color w:val="000080"/>
      <w:sz w:val="52"/>
      <w:szCs w:val="5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Zemnickas, Julie</dc:creator>
  <cp:lastModifiedBy>Zemnickas, Julie</cp:lastModifiedBy>
  <cp:revision>3</cp:revision>
  <cp:lastPrinted>2019-01-22T21:08:00Z</cp:lastPrinted>
  <dcterms:created xsi:type="dcterms:W3CDTF">2019-01-22T18:45:00Z</dcterms:created>
  <dcterms:modified xsi:type="dcterms:W3CDTF">2019-01-22T21:32:00Z</dcterms:modified>
</cp:coreProperties>
</file>